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20" w:rsidRPr="00904120" w:rsidRDefault="00904120" w:rsidP="0090412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04120">
        <w:rPr>
          <w:rFonts w:ascii="Calibri" w:eastAsia="Times New Roman" w:hAnsi="Calibri" w:cs="Times New Roman"/>
          <w:sz w:val="24"/>
          <w:szCs w:val="24"/>
          <w:lang w:eastAsia="hr-HR"/>
        </w:rPr>
        <w:t>OSNOVNA ŠKOLA VELI VRH PULA</w:t>
      </w:r>
    </w:p>
    <w:p w:rsidR="00904120" w:rsidRPr="00904120" w:rsidRDefault="00904120" w:rsidP="0090412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0412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Josipa </w:t>
      </w:r>
      <w:proofErr w:type="spellStart"/>
      <w:r w:rsidRPr="00904120">
        <w:rPr>
          <w:rFonts w:ascii="Calibri" w:eastAsia="Times New Roman" w:hAnsi="Calibri" w:cs="Times New Roman"/>
          <w:sz w:val="24"/>
          <w:szCs w:val="24"/>
          <w:lang w:eastAsia="hr-HR"/>
        </w:rPr>
        <w:t>Zahtile</w:t>
      </w:r>
      <w:proofErr w:type="spellEnd"/>
      <w:r w:rsidRPr="0090412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1,</w:t>
      </w:r>
      <w:r w:rsidR="00FA0E10">
        <w:rPr>
          <w:rFonts w:ascii="Calibri" w:eastAsia="Times New Roman" w:hAnsi="Calibri" w:cs="Times New Roman"/>
          <w:sz w:val="24"/>
          <w:szCs w:val="24"/>
          <w:lang w:eastAsia="hr-HR"/>
        </w:rPr>
        <w:t>Pula</w:t>
      </w:r>
    </w:p>
    <w:p w:rsidR="00904120" w:rsidRPr="00904120" w:rsidRDefault="00904120" w:rsidP="00904120">
      <w:pPr>
        <w:tabs>
          <w:tab w:val="center" w:pos="4536"/>
          <w:tab w:val="right" w:pos="9072"/>
        </w:tabs>
        <w:spacing w:after="0" w:line="240" w:lineRule="auto"/>
      </w:pPr>
      <w:r w:rsidRPr="00904120">
        <w:t>KLASA: 400-04/25-01/03</w:t>
      </w:r>
    </w:p>
    <w:p w:rsidR="00904120" w:rsidRPr="00904120" w:rsidRDefault="00904120" w:rsidP="00904120">
      <w:pPr>
        <w:tabs>
          <w:tab w:val="center" w:pos="4536"/>
          <w:tab w:val="right" w:pos="9072"/>
        </w:tabs>
        <w:spacing w:after="0" w:line="240" w:lineRule="auto"/>
      </w:pPr>
      <w:proofErr w:type="spellStart"/>
      <w:r w:rsidRPr="00904120">
        <w:t>URBROJ</w:t>
      </w:r>
      <w:proofErr w:type="spellEnd"/>
      <w:r w:rsidRPr="00904120">
        <w:t>: 2163-7-8-25-02-</w:t>
      </w:r>
      <w:r w:rsidRPr="00FA0E10">
        <w:t>3</w:t>
      </w:r>
    </w:p>
    <w:p w:rsidR="00904120" w:rsidRDefault="00904120" w:rsidP="0018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04120" w:rsidRDefault="00904120" w:rsidP="00186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04120" w:rsidRPr="00904120" w:rsidRDefault="00904120" w:rsidP="00904120">
      <w:pPr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904120">
        <w:rPr>
          <w:rFonts w:ascii="Calibri" w:eastAsia="Times New Roman" w:hAnsi="Calibri" w:cs="Calibri"/>
          <w:sz w:val="24"/>
          <w:szCs w:val="24"/>
          <w:lang w:eastAsia="hr-HR"/>
        </w:rPr>
        <w:t>Obrazloženje Izvještaja o izvršenju proračuna OŠ Veli Vrh Pula</w:t>
      </w:r>
    </w:p>
    <w:p w:rsidR="00904120" w:rsidRP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904120">
        <w:rPr>
          <w:rFonts w:ascii="Calibri" w:eastAsia="Times New Roman" w:hAnsi="Calibri" w:cs="Calibri"/>
          <w:sz w:val="24"/>
          <w:szCs w:val="24"/>
          <w:lang w:eastAsia="hr-HR"/>
        </w:rPr>
        <w:t>RAZDOBLJE: 01.01.2025. – 30.06.2025.</w:t>
      </w:r>
    </w:p>
    <w:p w:rsid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4120" w:rsidRPr="00904120" w:rsidRDefault="00904120" w:rsidP="0090412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04120">
        <w:rPr>
          <w:rFonts w:ascii="Calibri" w:eastAsia="Times New Roman" w:hAnsi="Calibri" w:cs="Calibri"/>
          <w:sz w:val="24"/>
          <w:szCs w:val="24"/>
          <w:lang w:eastAsia="hr-HR"/>
        </w:rPr>
        <w:t>Sukladno Zakonu o proračunu (NN 144/21, čl. 86) i Pravilniku o polugodišnjem i godišnjem izvještavanju o izvršenju proračuna (NN 85/23) propisana je obveza dostave Godišnjeg izvještaja o izvršenju financijskog plana proračunskog korisnika za razdoblje 1.-06.2025 upravljačkom tijelu na usvajanje i to do 31.srpnja 2025.</w:t>
      </w:r>
    </w:p>
    <w:p w:rsid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904120" w:rsidRPr="00904120" w:rsidRDefault="00904120" w:rsidP="0090412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186D40" w:rsidRPr="00186D40" w:rsidRDefault="00186D40" w:rsidP="00904120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F77FE1">
        <w:rPr>
          <w:rFonts w:eastAsia="Times New Roman" w:cstheme="minorHAnsi"/>
          <w:b/>
          <w:bCs/>
          <w:sz w:val="24"/>
          <w:szCs w:val="24"/>
          <w:lang w:eastAsia="hr-HR"/>
        </w:rPr>
        <w:t>I</w:t>
      </w:r>
      <w:r w:rsidRPr="00186D40">
        <w:rPr>
          <w:rFonts w:eastAsia="Times New Roman" w:cstheme="minorHAnsi"/>
          <w:bCs/>
          <w:sz w:val="24"/>
          <w:szCs w:val="24"/>
          <w:lang w:eastAsia="hr-HR"/>
        </w:rPr>
        <w:t>. OPĆI DIO PRORAČUNA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Navedeni izvještaj predstavlja </w:t>
      </w:r>
      <w:r w:rsidRPr="00904120">
        <w:rPr>
          <w:rFonts w:eastAsia="Times New Roman" w:cstheme="minorHAnsi"/>
          <w:b/>
          <w:bCs/>
          <w:sz w:val="24"/>
          <w:szCs w:val="24"/>
          <w:lang w:eastAsia="hr-HR"/>
        </w:rPr>
        <w:t>Sažetak Računa prihoda i rashoda</w:t>
      </w:r>
      <w:r w:rsidRPr="00186D40">
        <w:rPr>
          <w:rFonts w:eastAsia="Times New Roman" w:cstheme="minorHAnsi"/>
          <w:sz w:val="24"/>
          <w:szCs w:val="24"/>
          <w:lang w:eastAsia="hr-HR"/>
        </w:rPr>
        <w:t xml:space="preserve"> te </w:t>
      </w:r>
      <w:r w:rsidRPr="00904120">
        <w:rPr>
          <w:rFonts w:eastAsia="Times New Roman" w:cstheme="minorHAnsi"/>
          <w:b/>
          <w:bCs/>
          <w:sz w:val="24"/>
          <w:szCs w:val="24"/>
          <w:lang w:eastAsia="hr-HR"/>
        </w:rPr>
        <w:t>Računa financiranja</w:t>
      </w:r>
      <w:r w:rsidRPr="00186D40">
        <w:rPr>
          <w:rFonts w:eastAsia="Times New Roman" w:cstheme="minorHAnsi"/>
          <w:sz w:val="24"/>
          <w:szCs w:val="24"/>
          <w:lang w:eastAsia="hr-HR"/>
        </w:rPr>
        <w:t>, s prikazom ukupno ostvarenih prihoda i primitaka te izvršenih rashoda i izdataka. Prikazuje se razlika između ukupno ostvarenih prihoda i rashoda te primitaka i izdataka.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Prihodi i rashodi iskazani su u sljedećim tablicama:</w:t>
      </w:r>
    </w:p>
    <w:p w:rsidR="00186D40" w:rsidRPr="00186D40" w:rsidRDefault="00186D40" w:rsidP="00186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Prihodi i rashodi prema ekonomskoj klasifikaciji</w:t>
      </w:r>
    </w:p>
    <w:p w:rsidR="00186D40" w:rsidRPr="00186D40" w:rsidRDefault="00186D40" w:rsidP="00186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Prihodi i rashodi prema izvorima financiranja</w:t>
      </w:r>
    </w:p>
    <w:p w:rsidR="00186D40" w:rsidRPr="00186D40" w:rsidRDefault="00186D40" w:rsidP="00186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Rashodi prema funkcijskoj klasifikaciji</w:t>
      </w:r>
    </w:p>
    <w:p w:rsidR="00186D40" w:rsidRPr="00186D40" w:rsidRDefault="00186D40" w:rsidP="00186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Račun financiranja prema ekonomskoj klasifikaciji</w:t>
      </w:r>
    </w:p>
    <w:p w:rsidR="00186D40" w:rsidRPr="00186D40" w:rsidRDefault="00186D40" w:rsidP="00186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Račun financiranja prema izvorima financiranja</w:t>
      </w:r>
    </w:p>
    <w:p w:rsidR="00186D40" w:rsidRPr="00186D40" w:rsidRDefault="00186D40" w:rsidP="00186D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F77FE1">
        <w:rPr>
          <w:rFonts w:eastAsia="Times New Roman" w:cstheme="minorHAnsi"/>
          <w:b/>
          <w:bCs/>
          <w:sz w:val="24"/>
          <w:szCs w:val="24"/>
          <w:lang w:eastAsia="hr-HR"/>
        </w:rPr>
        <w:t>II</w:t>
      </w:r>
      <w:r w:rsidRPr="00186D40">
        <w:rPr>
          <w:rFonts w:eastAsia="Times New Roman" w:cstheme="minorHAnsi"/>
          <w:bCs/>
          <w:sz w:val="24"/>
          <w:szCs w:val="24"/>
          <w:lang w:eastAsia="hr-HR"/>
        </w:rPr>
        <w:t>. POSEBNI DIO PRORAČUNA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Ukupno izvršenje rashoda i izdataka u iznosu od </w:t>
      </w:r>
      <w:r w:rsidRPr="00F77FE1">
        <w:rPr>
          <w:rFonts w:eastAsia="Times New Roman" w:cstheme="minorHAnsi"/>
          <w:bCs/>
          <w:sz w:val="24"/>
          <w:szCs w:val="24"/>
          <w:lang w:eastAsia="hr-HR"/>
        </w:rPr>
        <w:t xml:space="preserve">1.435.551,04 </w:t>
      </w:r>
      <w:proofErr w:type="spellStart"/>
      <w:r w:rsidRPr="00F77FE1">
        <w:rPr>
          <w:rFonts w:eastAsia="Times New Roman" w:cstheme="minorHAnsi"/>
          <w:bCs/>
          <w:sz w:val="24"/>
          <w:szCs w:val="24"/>
          <w:lang w:eastAsia="hr-HR"/>
        </w:rPr>
        <w:t>EUR</w:t>
      </w:r>
      <w:proofErr w:type="spellEnd"/>
      <w:r w:rsidRPr="00186D40">
        <w:rPr>
          <w:rFonts w:eastAsia="Times New Roman" w:cstheme="minorHAnsi"/>
          <w:sz w:val="24"/>
          <w:szCs w:val="24"/>
          <w:lang w:eastAsia="hr-HR"/>
        </w:rPr>
        <w:t xml:space="preserve"> prikazano je kroz:</w:t>
      </w:r>
    </w:p>
    <w:p w:rsidR="00186D40" w:rsidRPr="00186D40" w:rsidRDefault="00186D40" w:rsidP="00186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Izvršenje rashoda i izdataka po programskoj klasifikaciji</w:t>
      </w:r>
    </w:p>
    <w:p w:rsidR="00186D40" w:rsidRPr="00186D40" w:rsidRDefault="00186D40" w:rsidP="00186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Izvršenje rashoda i izdataka po organizacijskoj klasifikaciji</w:t>
      </w:r>
    </w:p>
    <w:p w:rsidR="00186D40" w:rsidRPr="00186D40" w:rsidRDefault="00186D40" w:rsidP="00186D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F77FE1">
        <w:rPr>
          <w:rFonts w:eastAsia="Times New Roman" w:cstheme="minorHAnsi"/>
          <w:b/>
          <w:bCs/>
          <w:sz w:val="24"/>
          <w:szCs w:val="24"/>
          <w:lang w:eastAsia="hr-HR"/>
        </w:rPr>
        <w:t>III</w:t>
      </w:r>
      <w:r w:rsidRPr="00186D40">
        <w:rPr>
          <w:rFonts w:eastAsia="Times New Roman" w:cstheme="minorHAnsi"/>
          <w:bCs/>
          <w:sz w:val="24"/>
          <w:szCs w:val="24"/>
          <w:lang w:eastAsia="hr-HR"/>
        </w:rPr>
        <w:t>. ANALIZA IZVRŠENJA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S obzirom da izvještaj obuhvaća razdoblje siječanj – lipanj, </w:t>
      </w:r>
      <w:r w:rsidRPr="00904120">
        <w:rPr>
          <w:rFonts w:eastAsia="Times New Roman" w:cstheme="minorHAnsi"/>
          <w:bCs/>
          <w:sz w:val="24"/>
          <w:szCs w:val="24"/>
          <w:lang w:eastAsia="hr-HR"/>
        </w:rPr>
        <w:t>očekuju se indeksi izvršenja oko 50%</w:t>
      </w:r>
      <w:r w:rsidRPr="00186D40">
        <w:rPr>
          <w:rFonts w:eastAsia="Times New Roman" w:cstheme="minorHAnsi"/>
          <w:sz w:val="24"/>
          <w:szCs w:val="24"/>
          <w:lang w:eastAsia="hr-HR"/>
        </w:rPr>
        <w:t>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U odnosu na izvorni plan proračuna za 2025. godinu, ostvareno je </w:t>
      </w:r>
      <w:r w:rsidRPr="00904120">
        <w:rPr>
          <w:rFonts w:eastAsia="Times New Roman" w:cstheme="minorHAnsi"/>
          <w:bCs/>
          <w:sz w:val="24"/>
          <w:szCs w:val="24"/>
          <w:lang w:eastAsia="hr-HR"/>
        </w:rPr>
        <w:t>53,99%</w:t>
      </w:r>
      <w:r w:rsidRPr="00186D40">
        <w:rPr>
          <w:rFonts w:eastAsia="Times New Roman" w:cstheme="minorHAnsi"/>
          <w:sz w:val="24"/>
          <w:szCs w:val="24"/>
          <w:lang w:eastAsia="hr-HR"/>
        </w:rPr>
        <w:t xml:space="preserve"> izvršenja.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lastRenderedPageBreak/>
        <w:t xml:space="preserve">Obrazloženja većih odstupanja u odnosu na prethodnu godinu navedena su u dokumentu: </w:t>
      </w:r>
      <w:r w:rsidR="00FA0E1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A0E10" w:rsidRPr="00FA0E10">
        <w:rPr>
          <w:rFonts w:eastAsia="Times New Roman" w:cstheme="minorHAnsi"/>
          <w:i/>
          <w:sz w:val="24"/>
          <w:szCs w:val="24"/>
          <w:lang w:eastAsia="hr-HR"/>
        </w:rPr>
        <w:t>Bilješke uz Financijski</w:t>
      </w:r>
      <w:r w:rsidRPr="00FA0E10">
        <w:rPr>
          <w:rFonts w:eastAsia="Times New Roman" w:cstheme="minorHAnsi"/>
          <w:bCs/>
          <w:i/>
          <w:sz w:val="24"/>
          <w:szCs w:val="24"/>
          <w:lang w:eastAsia="hr-HR"/>
        </w:rPr>
        <w:t xml:space="preserve"> izvještaj</w:t>
      </w:r>
      <w:r w:rsidR="00FA0E10" w:rsidRPr="00FA0E10">
        <w:rPr>
          <w:rFonts w:eastAsia="Times New Roman" w:cstheme="minorHAnsi"/>
          <w:bCs/>
          <w:i/>
          <w:sz w:val="24"/>
          <w:szCs w:val="24"/>
          <w:lang w:eastAsia="hr-HR"/>
        </w:rPr>
        <w:t>e</w:t>
      </w:r>
      <w:r w:rsidRPr="00FA0E10">
        <w:rPr>
          <w:rFonts w:eastAsia="Times New Roman" w:cstheme="minorHAnsi"/>
          <w:bCs/>
          <w:i/>
          <w:sz w:val="24"/>
          <w:szCs w:val="24"/>
          <w:lang w:eastAsia="hr-HR"/>
        </w:rPr>
        <w:t xml:space="preserve"> za razdoblje siječanj – lipanj 2025. godine.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Izvještaj je izrađen prema </w:t>
      </w:r>
      <w:r w:rsidRPr="00904120">
        <w:rPr>
          <w:rFonts w:eastAsia="Times New Roman" w:cstheme="minorHAnsi"/>
          <w:bCs/>
          <w:sz w:val="24"/>
          <w:szCs w:val="24"/>
          <w:lang w:eastAsia="hr-HR"/>
        </w:rPr>
        <w:t>programskoj klasifikaciji</w:t>
      </w:r>
      <w:r w:rsidRPr="00186D40">
        <w:rPr>
          <w:rFonts w:eastAsia="Times New Roman" w:cstheme="minorHAnsi"/>
          <w:sz w:val="24"/>
          <w:szCs w:val="24"/>
          <w:lang w:eastAsia="hr-HR"/>
        </w:rPr>
        <w:t xml:space="preserve"> i tako je i prikazano izvršenje.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hr-HR"/>
        </w:rPr>
      </w:pPr>
      <w:r w:rsidRPr="00F77FE1">
        <w:rPr>
          <w:rFonts w:eastAsia="Times New Roman" w:cstheme="minorHAnsi"/>
          <w:b/>
          <w:bCs/>
          <w:sz w:val="24"/>
          <w:szCs w:val="24"/>
          <w:lang w:eastAsia="hr-HR"/>
        </w:rPr>
        <w:t>IV.</w:t>
      </w:r>
      <w:r w:rsidRPr="00186D40">
        <w:rPr>
          <w:rFonts w:eastAsia="Times New Roman" w:cstheme="minorHAnsi"/>
          <w:bCs/>
          <w:sz w:val="24"/>
          <w:szCs w:val="24"/>
          <w:lang w:eastAsia="hr-HR"/>
        </w:rPr>
        <w:t xml:space="preserve"> Bilješka o metodološkom manjku zbog novog načina knjiženja plaća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Sukladno članku 70. Pravilnika o proračunskom računovodstvu i Računskom planu (»Narodne novine«, broj 154/24), rashodi se priznaju </w:t>
      </w:r>
      <w:r w:rsidRPr="00FA0E10">
        <w:rPr>
          <w:rFonts w:eastAsia="Times New Roman" w:cstheme="minorHAnsi"/>
          <w:bCs/>
          <w:sz w:val="24"/>
          <w:szCs w:val="24"/>
          <w:lang w:eastAsia="hr-HR"/>
        </w:rPr>
        <w:t>u</w:t>
      </w:r>
      <w:r w:rsidRPr="0090412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Pr="00904120">
        <w:rPr>
          <w:rFonts w:eastAsia="Times New Roman" w:cstheme="minorHAnsi"/>
          <w:bCs/>
          <w:sz w:val="24"/>
          <w:szCs w:val="24"/>
          <w:lang w:eastAsia="hr-HR"/>
        </w:rPr>
        <w:t>trenutku nastanka troška</w:t>
      </w:r>
      <w:r w:rsidRPr="00186D40">
        <w:rPr>
          <w:rFonts w:eastAsia="Times New Roman" w:cstheme="minorHAnsi"/>
          <w:sz w:val="24"/>
          <w:szCs w:val="24"/>
          <w:lang w:eastAsia="hr-HR"/>
        </w:rPr>
        <w:t>, a ne u trenutku isplate.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U izvještajnom razdoblju lipanj 2025. evidentiran je metodološki manjak koji je rezultat:</w:t>
      </w:r>
    </w:p>
    <w:p w:rsidR="00186D40" w:rsidRPr="00186D40" w:rsidRDefault="00186D40" w:rsidP="00186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Knjiženja obračunatih plaća za lipanj u izvještajnom razdoblju, iako isplata slijedi u srpnju;</w:t>
      </w:r>
    </w:p>
    <w:p w:rsidR="00186D40" w:rsidRPr="00186D40" w:rsidRDefault="00186D40" w:rsidP="00186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Povećanja rashodovne strane u lipnju bez stvarnog novčanog odlijeva;</w:t>
      </w:r>
    </w:p>
    <w:p w:rsidR="00186D40" w:rsidRPr="00186D40" w:rsidRDefault="00186D40" w:rsidP="00186D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>Usklađenja s novim računovodstvenim standardima koji utječu na trenutak priznavanja rashoda.</w:t>
      </w:r>
    </w:p>
    <w:p w:rsidR="00186D40" w:rsidRPr="00186D40" w:rsidRDefault="00186D40" w:rsidP="00186D4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186D40">
        <w:rPr>
          <w:rFonts w:eastAsia="Times New Roman" w:cstheme="minorHAnsi"/>
          <w:sz w:val="24"/>
          <w:szCs w:val="24"/>
          <w:lang w:eastAsia="hr-HR"/>
        </w:rPr>
        <w:t xml:space="preserve">Napomena: </w:t>
      </w:r>
      <w:r w:rsidRPr="00904120">
        <w:rPr>
          <w:rFonts w:eastAsia="Times New Roman" w:cstheme="minorHAnsi"/>
          <w:bCs/>
          <w:sz w:val="24"/>
          <w:szCs w:val="24"/>
          <w:lang w:eastAsia="hr-HR"/>
        </w:rPr>
        <w:t>Metodološki manjak ne predstavlja stvarni deficit</w:t>
      </w:r>
      <w:r w:rsidRPr="00186D40">
        <w:rPr>
          <w:rFonts w:eastAsia="Times New Roman" w:cstheme="minorHAnsi"/>
          <w:sz w:val="24"/>
          <w:szCs w:val="24"/>
          <w:lang w:eastAsia="hr-HR"/>
        </w:rPr>
        <w:t>, već je rezultat promjene načina knjiženja i ima isključivo računovodstveni karakter.</w:t>
      </w:r>
    </w:p>
    <w:p w:rsidR="00AF53EC" w:rsidRDefault="00AF53EC"/>
    <w:p w:rsidR="00B84644" w:rsidRPr="00B84644" w:rsidRDefault="00B84644" w:rsidP="00B846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Puli,  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softHyphen/>
      </w:r>
      <w:r w:rsidR="0063594B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  <w:r w:rsidR="00290E41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="0063594B">
        <w:rPr>
          <w:rFonts w:ascii="Calibri" w:eastAsia="Times New Roman" w:hAnsi="Calibri" w:cs="Times New Roman"/>
          <w:sz w:val="24"/>
          <w:szCs w:val="24"/>
          <w:lang w:eastAsia="hr-HR"/>
        </w:rPr>
        <w:t>.07.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2025.      </w:t>
      </w:r>
    </w:p>
    <w:p w:rsidR="00B84644" w:rsidRPr="00B84644" w:rsidRDefault="00B84644" w:rsidP="00B846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B84644" w:rsidRPr="00B84644" w:rsidRDefault="00B84644" w:rsidP="00B846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</w:p>
    <w:p w:rsidR="00B84644" w:rsidRPr="00B84644" w:rsidRDefault="00B84644" w:rsidP="00B8464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Voditeljica računovodstva    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  <w:t xml:space="preserve"> 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  <w:t>Ravnateljica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</w:p>
    <w:p w:rsidR="00B84644" w:rsidRPr="00B84644" w:rsidRDefault="00B84644" w:rsidP="00B846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>----------------------------------                                                                          ---------------------------</w:t>
      </w:r>
    </w:p>
    <w:p w:rsidR="00B84644" w:rsidRDefault="00B84644" w:rsidP="00B84644"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Suzana Bileta  </w:t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</w:r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ab/>
        <w:t xml:space="preserve"> Ileana </w:t>
      </w:r>
      <w:proofErr w:type="spellStart"/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>Zahtila</w:t>
      </w:r>
      <w:proofErr w:type="spellEnd"/>
      <w:r w:rsidRPr="00B846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Blašković</w:t>
      </w:r>
    </w:p>
    <w:sectPr w:rsidR="00B8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2A0"/>
    <w:multiLevelType w:val="multilevel"/>
    <w:tmpl w:val="83B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05E10"/>
    <w:multiLevelType w:val="multilevel"/>
    <w:tmpl w:val="A36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F4CC9"/>
    <w:multiLevelType w:val="multilevel"/>
    <w:tmpl w:val="180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40"/>
    <w:rsid w:val="00186D40"/>
    <w:rsid w:val="00290E41"/>
    <w:rsid w:val="0063594B"/>
    <w:rsid w:val="008F1141"/>
    <w:rsid w:val="00904120"/>
    <w:rsid w:val="009C2472"/>
    <w:rsid w:val="00AF53EC"/>
    <w:rsid w:val="00B84644"/>
    <w:rsid w:val="00F77FE1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307"/>
  <w15:chartTrackingRefBased/>
  <w15:docId w15:val="{E2218AEC-59E9-4D02-9516-B3059F73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Bileta</dc:creator>
  <cp:keywords/>
  <dc:description/>
  <cp:lastModifiedBy>Suzana Bileta</cp:lastModifiedBy>
  <cp:revision>13</cp:revision>
  <dcterms:created xsi:type="dcterms:W3CDTF">2025-07-11T08:25:00Z</dcterms:created>
  <dcterms:modified xsi:type="dcterms:W3CDTF">2025-07-15T15:54:00Z</dcterms:modified>
</cp:coreProperties>
</file>